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alla dispersione delle ceneri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dell'autorizzazione alla dispersione delle ceneri.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Ciascuna persona puo' decidere, per il tempo in cui cessera' di vivere, di ridurre a c</w:t>
            </w:r>
            <w:r>
              <w:rPr>
                <w:rFonts w:ascii="Arial" w:hAnsi="Arial"/>
              </w:rPr>
              <w:t>enere la propria salma: questo procedimento si chiama cremazione.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Circolare del Ministero della Sanita' n. 24 del 24 giugno 1993 e n. 10 del 31 luglio 1998 - L. 130/2001 - Disposizioni in materia di cremazione e dispersione delle ceneri - Legge regionale - Regolamento dei servizi cimiteriali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B210C4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AE7B26" w:rsidRPr="00B210C4" w:rsidRDefault="00B210C4">
            <w:pPr>
              <w:jc w:val="both"/>
              <w:rPr>
                <w:lang w:val="en-US"/>
              </w:rPr>
            </w:pPr>
            <w:proofErr w:type="spellStart"/>
            <w:r w:rsidRPr="00B210C4">
              <w:rPr>
                <w:rFonts w:ascii="Arial" w:hAnsi="Arial"/>
                <w:lang w:val="en-US"/>
              </w:rPr>
              <w:t>EMail</w:t>
            </w:r>
            <w:proofErr w:type="spellEnd"/>
            <w:r w:rsidRPr="00B210C4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autorizzazione all'affidamento e alla dispersione nell'ambito del territorio comunale: immediata; 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- autorizzazione all'affidamento e alla dispersione nell'ambito del territorio di altri comuni: entro 1 giorno dal rilascio del nulla osta da parte dell'altro comune.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 all'affidamento e alla dispersione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- Tutela giurisdizionale: ricorso al TAR entro</w:t>
            </w:r>
            <w:r>
              <w:rPr>
                <w:rFonts w:ascii="Arial" w:hAnsi="Arial"/>
              </w:rPr>
              <w:t xml:space="preserve">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E7B26"/>
    <w:rsid w:val="00B14D8D"/>
    <w:rsid w:val="00B179D4"/>
    <w:rsid w:val="00B210C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2020-06-30T11:08:00Z</dcterms:modified>
</cp:coreProperties>
</file>